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01" w:rsidRPr="004323F5" w:rsidRDefault="00AC13C3" w:rsidP="00FE2EE5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Report-Team First</w:t>
      </w:r>
      <w:r w:rsidR="00FE2EE5" w:rsidRPr="004323F5">
        <w:rPr>
          <w:rFonts w:asciiTheme="majorHAnsi" w:hAnsiTheme="majorHAnsi"/>
          <w:sz w:val="36"/>
          <w:szCs w:val="36"/>
        </w:rPr>
        <w:t xml:space="preserve"> Image</w:t>
      </w:r>
    </w:p>
    <w:p w:rsidR="00FE2EE5" w:rsidRPr="004323F5" w:rsidRDefault="00FE2EE5" w:rsidP="00FE2EE5">
      <w:pPr>
        <w:jc w:val="center"/>
        <w:rPr>
          <w:rFonts w:asciiTheme="majorHAnsi" w:hAnsiTheme="majorHAnsi"/>
          <w:sz w:val="28"/>
          <w:szCs w:val="28"/>
        </w:rPr>
      </w:pPr>
      <w:r w:rsidRPr="004323F5">
        <w:rPr>
          <w:rFonts w:asciiTheme="majorHAnsi" w:hAnsiTheme="majorHAnsi"/>
          <w:sz w:val="28"/>
          <w:szCs w:val="28"/>
        </w:rPr>
        <w:t>11/08/2016</w:t>
      </w:r>
    </w:p>
    <w:p w:rsidR="00FE2EE5" w:rsidRDefault="004323F5" w:rsidP="00FE2EE5">
      <w:pPr>
        <w:jc w:val="center"/>
        <w:rPr>
          <w:rFonts w:asciiTheme="majorHAnsi" w:hAnsiTheme="majorHAnsi"/>
          <w:sz w:val="28"/>
          <w:szCs w:val="28"/>
        </w:rPr>
      </w:pPr>
      <w:r w:rsidRPr="004323F5">
        <w:rPr>
          <w:rFonts w:asciiTheme="majorHAnsi" w:hAnsiTheme="majorHAnsi"/>
          <w:sz w:val="28"/>
          <w:szCs w:val="28"/>
        </w:rPr>
        <w:t>Flow Visualization: The Physics and Art of Fluid Flow</w:t>
      </w:r>
    </w:p>
    <w:p w:rsidR="004323F5" w:rsidRDefault="004323F5" w:rsidP="00FE2EE5">
      <w:pPr>
        <w:jc w:val="center"/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0" distR="0" wp14:anchorId="101FDB6C" wp14:editId="64F67B31">
            <wp:extent cx="2962275" cy="1974849"/>
            <wp:effectExtent l="0" t="0" r="0" b="6985"/>
            <wp:docPr id="1" name="Picture 1" descr="team-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-fir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7" cy="200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E7" w:rsidRDefault="008C3F8F" w:rsidP="00382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image shows </w:t>
      </w:r>
      <w:r w:rsidR="00AF40BD">
        <w:rPr>
          <w:sz w:val="24"/>
          <w:szCs w:val="24"/>
        </w:rPr>
        <w:t xml:space="preserve">the phenomenon of Hele-Shaw cell which was took on </w:t>
      </w:r>
      <w:r w:rsidR="0038290B">
        <w:rPr>
          <w:sz w:val="24"/>
          <w:szCs w:val="24"/>
        </w:rPr>
        <w:t xml:space="preserve">October 16, 2016 in ECME lab 165 about 9pm. The team members include </w:t>
      </w:r>
      <w:r w:rsidR="00293A2D">
        <w:rPr>
          <w:sz w:val="24"/>
          <w:szCs w:val="24"/>
        </w:rPr>
        <w:t xml:space="preserve">Matt Blackmailer, Yadira Valadez and Stephanie. </w:t>
      </w:r>
    </w:p>
    <w:p w:rsidR="004323F5" w:rsidRDefault="001B40D7" w:rsidP="0038290B">
      <w:pPr>
        <w:jc w:val="both"/>
        <w:rPr>
          <w:sz w:val="24"/>
          <w:szCs w:val="24"/>
        </w:rPr>
      </w:pPr>
      <w:r>
        <w:rPr>
          <w:sz w:val="24"/>
          <w:szCs w:val="24"/>
        </w:rPr>
        <w:t>The experiment steps are shown following: There are two pieces of transparent sheets. The mixed fluid include oil and red dye is squeezed between two pi</w:t>
      </w:r>
      <w:r w:rsidR="00D75DE7">
        <w:rPr>
          <w:sz w:val="24"/>
          <w:szCs w:val="24"/>
        </w:rPr>
        <w:t>eces of sheets. The pure fluid-b</w:t>
      </w:r>
      <w:r>
        <w:rPr>
          <w:sz w:val="24"/>
          <w:szCs w:val="24"/>
        </w:rPr>
        <w:t xml:space="preserve">lue dye is injected from the hole of upper sheet by injector. </w:t>
      </w:r>
      <w:r w:rsidR="00AE5824">
        <w:rPr>
          <w:sz w:val="24"/>
          <w:szCs w:val="24"/>
        </w:rPr>
        <w:t>Thus the above phenomenon so called “Hele-Shaw cell”</w:t>
      </w:r>
      <w:r w:rsidR="000F5882">
        <w:rPr>
          <w:sz w:val="24"/>
          <w:szCs w:val="24"/>
        </w:rPr>
        <w:t xml:space="preserve"> is generated, which because </w:t>
      </w:r>
      <w:r w:rsidR="00D75DE7">
        <w:rPr>
          <w:sz w:val="24"/>
          <w:szCs w:val="24"/>
        </w:rPr>
        <w:t xml:space="preserve">of </w:t>
      </w:r>
      <w:r w:rsidR="000F5882">
        <w:rPr>
          <w:sz w:val="24"/>
          <w:szCs w:val="24"/>
        </w:rPr>
        <w:t xml:space="preserve">the viscous difference of oil and dye. </w:t>
      </w:r>
      <w:r w:rsidR="00AE5824">
        <w:rPr>
          <w:sz w:val="24"/>
          <w:szCs w:val="24"/>
        </w:rPr>
        <w:t>The white part i</w:t>
      </w:r>
      <w:r w:rsidR="002073DA">
        <w:rPr>
          <w:sz w:val="24"/>
          <w:szCs w:val="24"/>
        </w:rPr>
        <w:t xml:space="preserve">n the image is the oil which is at the bottom and the outer background is the dye with different colors that is overflow from the gap of sheets. </w:t>
      </w:r>
      <w:r w:rsidR="00B4502C">
        <w:rPr>
          <w:sz w:val="24"/>
          <w:szCs w:val="24"/>
        </w:rPr>
        <w:t>Different colors of dye were trie</w:t>
      </w:r>
      <w:r w:rsidR="008B6B2C">
        <w:rPr>
          <w:sz w:val="24"/>
          <w:szCs w:val="24"/>
        </w:rPr>
        <w:t xml:space="preserve">d to carry out the experiments with different method, while the above image is selected because of great distribution of dyes and distinct contrast of color. </w:t>
      </w:r>
      <w:r w:rsidR="00DF23AB">
        <w:rPr>
          <w:sz w:val="24"/>
          <w:szCs w:val="24"/>
        </w:rPr>
        <w:t>(The straight line shown in the image is the edge of the sheet)</w:t>
      </w:r>
      <w:r w:rsidR="003F7C41">
        <w:rPr>
          <w:sz w:val="24"/>
          <w:szCs w:val="24"/>
        </w:rPr>
        <w:t>.</w:t>
      </w:r>
      <w:r w:rsidR="00DF23AB">
        <w:rPr>
          <w:sz w:val="24"/>
          <w:szCs w:val="24"/>
        </w:rPr>
        <w:t xml:space="preserve"> </w:t>
      </w:r>
    </w:p>
    <w:p w:rsidR="003602A9" w:rsidRDefault="00706C68" w:rsidP="00382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principle of “Hele-Shaw cell” is depicted in detail as following. </w:t>
      </w:r>
      <w:r w:rsidR="00DF23AB">
        <w:rPr>
          <w:sz w:val="24"/>
          <w:szCs w:val="24"/>
        </w:rPr>
        <w:t xml:space="preserve">When a viscous fluid filling the voids in a porous medium </w:t>
      </w:r>
      <w:r w:rsidR="00E548C5">
        <w:rPr>
          <w:sz w:val="24"/>
          <w:szCs w:val="24"/>
        </w:rPr>
        <w:t>is driven forwards by the pressure of another driving fluid, the interface between them is liable to be unstable if the driving fluid is the less viscous of the two.</w:t>
      </w:r>
      <w:r w:rsidR="006F77F2">
        <w:rPr>
          <w:sz w:val="24"/>
          <w:szCs w:val="24"/>
        </w:rPr>
        <w:t xml:space="preserve"> </w:t>
      </w:r>
      <w:r w:rsidR="007A41E7">
        <w:rPr>
          <w:sz w:val="24"/>
          <w:szCs w:val="24"/>
        </w:rPr>
        <w:t xml:space="preserve">In 1958, </w:t>
      </w:r>
      <w:r w:rsidR="007E7DD0">
        <w:rPr>
          <w:sz w:val="24"/>
          <w:szCs w:val="24"/>
        </w:rPr>
        <w:t>P. G. Saffman</w:t>
      </w:r>
      <w:r w:rsidR="001D384D">
        <w:rPr>
          <w:sz w:val="24"/>
          <w:szCs w:val="24"/>
        </w:rPr>
        <w:t xml:space="preserve"> and Geoffrey Taylor firstly carried out the </w:t>
      </w:r>
      <w:r w:rsidR="00A84046">
        <w:rPr>
          <w:sz w:val="24"/>
          <w:szCs w:val="24"/>
        </w:rPr>
        <w:t>e</w:t>
      </w:r>
      <w:r w:rsidR="006F77F2">
        <w:rPr>
          <w:sz w:val="24"/>
          <w:szCs w:val="24"/>
        </w:rPr>
        <w:t xml:space="preserve">xperiments in which a viscous fluid confined between closely spaced parallel </w:t>
      </w:r>
      <w:r w:rsidR="007E7DD0">
        <w:rPr>
          <w:sz w:val="24"/>
          <w:szCs w:val="24"/>
        </w:rPr>
        <w:t>sheets of glass, a Hele-Shaw cell, is driven out by a less viscous one reveal a similar state. The motion in a Hele-Shaw cell is mathematically analogous to two-dimensi</w:t>
      </w:r>
      <w:r w:rsidR="0060279C">
        <w:rPr>
          <w:sz w:val="24"/>
          <w:szCs w:val="24"/>
        </w:rPr>
        <w:t xml:space="preserve">onal flow in a porous medium </w:t>
      </w:r>
      <w:r w:rsidR="0060279C" w:rsidRPr="0060279C">
        <w:rPr>
          <w:color w:val="FF0000"/>
          <w:sz w:val="24"/>
          <w:szCs w:val="24"/>
        </w:rPr>
        <w:t>[1]</w:t>
      </w:r>
      <w:r w:rsidR="0060279C">
        <w:rPr>
          <w:sz w:val="24"/>
          <w:szCs w:val="24"/>
        </w:rPr>
        <w:t>.</w:t>
      </w:r>
      <w:r w:rsidR="003602A9">
        <w:rPr>
          <w:sz w:val="24"/>
          <w:szCs w:val="24"/>
        </w:rPr>
        <w:t xml:space="preserve"> </w:t>
      </w:r>
    </w:p>
    <w:p w:rsidR="003602A9" w:rsidRDefault="003602A9" w:rsidP="00382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stability of the interface between two fluids in a porous medium is firstly theoretically researched by Taylor in and experimentally verified by Lewis in 1950. </w:t>
      </w:r>
      <w:r w:rsidR="006766CF">
        <w:rPr>
          <w:sz w:val="24"/>
          <w:szCs w:val="24"/>
        </w:rPr>
        <w:t>The formulas that decide the stability are shown following:</w:t>
      </w:r>
    </w:p>
    <w:p w:rsidR="00702CF8" w:rsidRDefault="00702CF8" w:rsidP="0038290B">
      <w:pPr>
        <w:jc w:val="both"/>
        <w:rPr>
          <w:sz w:val="24"/>
          <w:szCs w:val="24"/>
        </w:rPr>
      </w:pPr>
    </w:p>
    <w:p w:rsidR="00433E3C" w:rsidRDefault="00433E3C" w:rsidP="0038290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If stable interface</w:t>
      </w:r>
    </w:p>
    <w:p w:rsidR="00433E3C" w:rsidRDefault="003F7F6A" w:rsidP="0038290B">
      <w:pPr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V+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g&gt;0</m:t>
        </m:r>
      </m:oMath>
      <w:r w:rsidR="00433E3C">
        <w:rPr>
          <w:sz w:val="24"/>
          <w:szCs w:val="24"/>
        </w:rPr>
        <w:t xml:space="preserve">                                                                                                                  (1)</w:t>
      </w:r>
    </w:p>
    <w:p w:rsidR="00433E3C" w:rsidRDefault="00433E3C" w:rsidP="00433E3C">
      <w:pPr>
        <w:jc w:val="both"/>
        <w:rPr>
          <w:sz w:val="24"/>
          <w:szCs w:val="24"/>
        </w:rPr>
      </w:pPr>
      <w:r>
        <w:rPr>
          <w:sz w:val="24"/>
          <w:szCs w:val="24"/>
        </w:rPr>
        <w:t>If unstable interface</w:t>
      </w:r>
    </w:p>
    <w:p w:rsidR="00433E3C" w:rsidRDefault="003F7F6A" w:rsidP="00433E3C">
      <w:pPr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V+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g&gt;0</m:t>
        </m:r>
      </m:oMath>
      <w:r w:rsidR="00433E3C">
        <w:rPr>
          <w:sz w:val="24"/>
          <w:szCs w:val="24"/>
        </w:rPr>
        <w:t xml:space="preserve">                                                                                                                  (2)</w:t>
      </w:r>
    </w:p>
    <w:p w:rsidR="006E696D" w:rsidRDefault="003B4D79" w:rsidP="00433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>
        <w:rPr>
          <w:sz w:val="24"/>
          <w:szCs w:val="24"/>
        </w:rPr>
        <w:t xml:space="preserve"> denotes the viscosity,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>
        <w:rPr>
          <w:sz w:val="24"/>
          <w:szCs w:val="24"/>
        </w:rPr>
        <w:t xml:space="preserve"> the density and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sz w:val="24"/>
          <w:szCs w:val="24"/>
        </w:rPr>
        <w:t xml:space="preserve"> is the permeability of the medium to the fluid.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sz w:val="24"/>
          <w:szCs w:val="24"/>
        </w:rPr>
        <w:t xml:space="preserve"> means the upward velocity and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sz w:val="24"/>
          <w:szCs w:val="24"/>
        </w:rPr>
        <w:t xml:space="preserve"> means the gravity acceleration. </w:t>
      </w:r>
      <w:r w:rsidR="0007570B">
        <w:rPr>
          <w:sz w:val="24"/>
          <w:szCs w:val="24"/>
        </w:rPr>
        <w:t xml:space="preserve">In 1898, Hele-Shaw given an analogue study for two-dimensional flow in a porous medium. </w:t>
      </w:r>
      <w:r w:rsidR="006E696D">
        <w:rPr>
          <w:sz w:val="24"/>
          <w:szCs w:val="24"/>
        </w:rPr>
        <w:t>The mean velocity across the stratum of fluid 1 ahead of the interface is given by:</w:t>
      </w:r>
    </w:p>
    <w:p w:rsidR="006E696D" w:rsidRDefault="003F7F6A" w:rsidP="00433E3C">
      <w:pPr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grad(p+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gx)</m:t>
        </m:r>
      </m:oMath>
      <w:r w:rsidR="00946C7F">
        <w:rPr>
          <w:sz w:val="24"/>
          <w:szCs w:val="24"/>
        </w:rPr>
        <w:t xml:space="preserve">                                                                                                               (3)</w:t>
      </w:r>
    </w:p>
    <w:p w:rsidR="00946C7F" w:rsidRDefault="003F7F6A" w:rsidP="00433E3C">
      <w:pPr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grad(p+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gx)</m:t>
        </m:r>
      </m:oMath>
      <w:r w:rsidR="00946C7F">
        <w:rPr>
          <w:sz w:val="24"/>
          <w:szCs w:val="24"/>
        </w:rPr>
        <w:t xml:space="preserve"> </w:t>
      </w:r>
      <w:r w:rsidR="005D2BFB">
        <w:rPr>
          <w:sz w:val="24"/>
          <w:szCs w:val="24"/>
        </w:rPr>
        <w:t xml:space="preserve">                                                                                                              (4)</w:t>
      </w:r>
    </w:p>
    <w:p w:rsidR="005D2BFB" w:rsidRDefault="005D2BFB" w:rsidP="00433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b denotes the distance between two sheets. </w:t>
      </w:r>
      <w:r w:rsidR="00326EBB">
        <w:rPr>
          <w:sz w:val="24"/>
          <w:szCs w:val="24"/>
        </w:rPr>
        <w:t xml:space="preserve">The following picture shows the finger moving into a channel. </w:t>
      </w:r>
    </w:p>
    <w:p w:rsidR="00A7792B" w:rsidRDefault="00A7792B" w:rsidP="00A7792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454DAEC" wp14:editId="75231DA5">
            <wp:extent cx="4476750" cy="2124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EBB" w:rsidRDefault="00326EBB" w:rsidP="00326E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mean velocity across the stratum is given by equations (3) and (4) and the equation of continuity </w:t>
      </w:r>
      <w:r w:rsidR="00F65561">
        <w:rPr>
          <w:sz w:val="24"/>
          <w:szCs w:val="24"/>
        </w:rPr>
        <w:t>takes the form:</w:t>
      </w:r>
    </w:p>
    <w:p w:rsidR="00F65561" w:rsidRDefault="003F7F6A" w:rsidP="00326EBB">
      <w:pPr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∂x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∂y</m:t>
            </m:r>
          </m:den>
        </m:f>
        <m:r>
          <w:rPr>
            <w:rFonts w:ascii="Cambria Math" w:hAnsi="Cambria Math"/>
            <w:sz w:val="24"/>
            <w:szCs w:val="24"/>
          </w:rPr>
          <m:t>=0</m:t>
        </m:r>
      </m:oMath>
      <w:r w:rsidR="00F65561">
        <w:rPr>
          <w:sz w:val="24"/>
          <w:szCs w:val="24"/>
        </w:rPr>
        <w:t xml:space="preserve">                              </w:t>
      </w:r>
      <w:r w:rsidR="004900B3">
        <w:rPr>
          <w:sz w:val="24"/>
          <w:szCs w:val="24"/>
        </w:rPr>
        <w:t xml:space="preserve"> </w:t>
      </w:r>
      <w:r w:rsidR="00F65561">
        <w:rPr>
          <w:sz w:val="24"/>
          <w:szCs w:val="24"/>
        </w:rPr>
        <w:t xml:space="preserve">                                                                                                                     (5)</w:t>
      </w:r>
    </w:p>
    <w:p w:rsidR="004900B3" w:rsidRDefault="004900B3" w:rsidP="00326E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sz w:val="24"/>
          <w:szCs w:val="24"/>
        </w:rPr>
        <w:t xml:space="preserve"> are the components mean velocity parallel to the axes. A stream function ψ can be defined by</w:t>
      </w:r>
    </w:p>
    <w:p w:rsidR="007D13B5" w:rsidRDefault="007D13B5" w:rsidP="00326EBB">
      <w:p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∂x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∂ψ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∂y</m:t>
            </m:r>
          </m:den>
        </m:f>
      </m:oMath>
      <w:r>
        <w:rPr>
          <w:sz w:val="24"/>
          <w:szCs w:val="24"/>
        </w:rPr>
        <w:t xml:space="preserve"> </w:t>
      </w:r>
      <w:r w:rsidR="00E906A5">
        <w:rPr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</w:rPr>
          <m:t>v=-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∂y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∂ψ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∂x</m:t>
            </m:r>
          </m:den>
        </m:f>
      </m:oMath>
      <w:r w:rsidR="00E906A5">
        <w:rPr>
          <w:sz w:val="24"/>
          <w:szCs w:val="24"/>
        </w:rPr>
        <w:t xml:space="preserve">                                                                                                                  (6)</w:t>
      </w:r>
    </w:p>
    <w:p w:rsidR="00B02FCD" w:rsidRDefault="00B02FCD" w:rsidP="00326E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Using the method of stream </w:t>
      </w:r>
      <w:r w:rsidR="00284579">
        <w:rPr>
          <w:sz w:val="24"/>
          <w:szCs w:val="24"/>
        </w:rPr>
        <w:t xml:space="preserve">function and potential function, the maximum velocity of propagation could be calculated as following, (The detailed processes are omitted). </w:t>
      </w:r>
    </w:p>
    <w:p w:rsidR="005C302D" w:rsidRDefault="003F7F6A" w:rsidP="00326EBB">
      <w:pPr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V+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5C302D">
        <w:rPr>
          <w:sz w:val="24"/>
          <w:szCs w:val="24"/>
        </w:rPr>
        <w:t xml:space="preserve"> </w:t>
      </w:r>
      <w:r w:rsidR="00827549">
        <w:rPr>
          <w:sz w:val="24"/>
          <w:szCs w:val="24"/>
        </w:rPr>
        <w:t xml:space="preserve">                                                                                                                  (7)</w:t>
      </w:r>
    </w:p>
    <w:p w:rsidR="00E97400" w:rsidRDefault="00E97400" w:rsidP="00E9740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8D7512C" wp14:editId="2ACE2495">
            <wp:extent cx="4410075" cy="23254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8255" cy="232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ACD" w:rsidRDefault="005D19CD" w:rsidP="00E974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Viscous fingering experiments carried out by </w:t>
      </w:r>
      <w:r w:rsidR="0017792F">
        <w:rPr>
          <w:sz w:val="24"/>
          <w:szCs w:val="24"/>
        </w:rPr>
        <w:t>P. G. Saffman and Sir Geoffrey Taylor</w:t>
      </w:r>
    </w:p>
    <w:p w:rsidR="00803ACD" w:rsidRDefault="00803ACD" w:rsidP="00E72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other applications of Saffman-Taylor instability. William Mather also </w:t>
      </w:r>
      <w:r w:rsidR="008D3986">
        <w:rPr>
          <w:sz w:val="24"/>
          <w:szCs w:val="24"/>
        </w:rPr>
        <w:t xml:space="preserve">research the stream instability in growing cell population </w:t>
      </w:r>
      <w:r w:rsidR="008D3986" w:rsidRPr="008D3986">
        <w:rPr>
          <w:color w:val="FF0000"/>
          <w:sz w:val="24"/>
          <w:szCs w:val="24"/>
        </w:rPr>
        <w:t>[2]</w:t>
      </w:r>
      <w:r w:rsidR="008D3986">
        <w:rPr>
          <w:sz w:val="24"/>
          <w:szCs w:val="24"/>
        </w:rPr>
        <w:t>.</w:t>
      </w:r>
      <w:r w:rsidR="00E72404">
        <w:rPr>
          <w:sz w:val="24"/>
          <w:szCs w:val="24"/>
        </w:rPr>
        <w:t xml:space="preserve"> The Canon EOS REBEL T5 is applied to took the image</w:t>
      </w:r>
      <w:r w:rsidR="00B1006F">
        <w:rPr>
          <w:sz w:val="24"/>
          <w:szCs w:val="24"/>
        </w:rPr>
        <w:t>. For the parameters, the focus length 49mm, the exposure time is 1/60 sec</w:t>
      </w:r>
      <w:r w:rsidR="008B08A2">
        <w:rPr>
          <w:sz w:val="24"/>
          <w:szCs w:val="24"/>
        </w:rPr>
        <w:t xml:space="preserve"> and ISO is about 800. For the processing, the image contrast has been adjusted. The image pixels after treatment is 5184*3456. </w:t>
      </w:r>
    </w:p>
    <w:p w:rsidR="000E6631" w:rsidRDefault="000E6631" w:rsidP="000E6631">
      <w:pPr>
        <w:jc w:val="center"/>
        <w:rPr>
          <w:sz w:val="24"/>
          <w:szCs w:val="24"/>
        </w:rPr>
      </w:pPr>
      <w:r w:rsidRPr="000E6631">
        <w:rPr>
          <w:noProof/>
          <w:sz w:val="24"/>
          <w:szCs w:val="24"/>
        </w:rPr>
        <w:drawing>
          <wp:inline distT="0" distB="0" distL="0" distR="0">
            <wp:extent cx="2333625" cy="1555750"/>
            <wp:effectExtent l="0" t="0" r="9525" b="6350"/>
            <wp:docPr id="4" name="Picture 4" descr="C:\Users\Administrator\Desktop\Picture\Flow Vis Team-1\IMG_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Picture\Flow Vis Team-1\IMG_4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92" cy="155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1626AE" wp14:editId="42D6C384">
            <wp:extent cx="2342199" cy="1561465"/>
            <wp:effectExtent l="0" t="0" r="1270" b="635"/>
            <wp:docPr id="5" name="Picture 5" descr="team-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-fir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33" cy="16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7A" w:rsidRDefault="00CE0410" w:rsidP="00E72404">
      <w:pPr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                      </w:t>
      </w:r>
      <w:r w:rsidRPr="00CE0410">
        <w:rPr>
          <w:b/>
          <w:sz w:val="20"/>
          <w:szCs w:val="20"/>
        </w:rPr>
        <w:t xml:space="preserve">Original image </w:t>
      </w:r>
      <w:r>
        <w:rPr>
          <w:b/>
          <w:sz w:val="20"/>
          <w:szCs w:val="20"/>
        </w:rPr>
        <w:t xml:space="preserve">                                                          After processing</w:t>
      </w:r>
    </w:p>
    <w:p w:rsidR="00432802" w:rsidRDefault="00634A7A" w:rsidP="00E72404">
      <w:pPr>
        <w:rPr>
          <w:sz w:val="24"/>
          <w:szCs w:val="24"/>
        </w:rPr>
      </w:pPr>
      <w:r>
        <w:rPr>
          <w:sz w:val="24"/>
          <w:szCs w:val="24"/>
        </w:rPr>
        <w:t>For the potential improvement, t</w:t>
      </w:r>
      <w:r w:rsidR="00AF49BD">
        <w:rPr>
          <w:sz w:val="24"/>
          <w:szCs w:val="24"/>
        </w:rPr>
        <w:t>he shape of Hele Shaw cell should</w:t>
      </w:r>
      <w:r>
        <w:rPr>
          <w:sz w:val="24"/>
          <w:szCs w:val="24"/>
        </w:rPr>
        <w:t xml:space="preserve"> be more symmetrical. The actual asymmetry is probably because of the pressure difference when injecting blue dye. </w:t>
      </w:r>
    </w:p>
    <w:p w:rsidR="00621D68" w:rsidRPr="00BF7A67" w:rsidRDefault="00621D68" w:rsidP="00E72404">
      <w:pPr>
        <w:rPr>
          <w:sz w:val="24"/>
          <w:szCs w:val="24"/>
        </w:rPr>
      </w:pPr>
    </w:p>
    <w:p w:rsidR="00432802" w:rsidRDefault="00432802" w:rsidP="00432802">
      <w:pPr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[1] “</w:t>
      </w:r>
      <w:r w:rsidRPr="00432802">
        <w:rPr>
          <w:b/>
          <w:sz w:val="20"/>
          <w:szCs w:val="20"/>
        </w:rPr>
        <w:t>The penetration of fluid into a porous medium or Hele-Shaw cell containing a more viscous liquid</w:t>
      </w:r>
      <w:r>
        <w:rPr>
          <w:b/>
          <w:sz w:val="20"/>
          <w:szCs w:val="20"/>
        </w:rPr>
        <w:t xml:space="preserve">” P. G. Saffman and Sir Geoffrey Taylor, </w:t>
      </w:r>
      <w:r w:rsidRPr="00432802">
        <w:rPr>
          <w:b/>
          <w:i/>
          <w:sz w:val="20"/>
          <w:szCs w:val="20"/>
        </w:rPr>
        <w:t>The Royal Society, Mathematical and Physical Sciences.</w:t>
      </w:r>
    </w:p>
    <w:p w:rsidR="00F65561" w:rsidRDefault="00432802" w:rsidP="00326EBB">
      <w:pPr>
        <w:jc w:val="both"/>
        <w:rPr>
          <w:sz w:val="24"/>
          <w:szCs w:val="24"/>
        </w:rPr>
      </w:pPr>
      <w:r>
        <w:rPr>
          <w:b/>
          <w:sz w:val="20"/>
          <w:szCs w:val="20"/>
        </w:rPr>
        <w:t xml:space="preserve">[2] “Streaming Instability in Growing Cell Populations” William Mather, etc. </w:t>
      </w:r>
      <w:r w:rsidRPr="00432802">
        <w:rPr>
          <w:b/>
          <w:i/>
          <w:sz w:val="20"/>
          <w:szCs w:val="20"/>
        </w:rPr>
        <w:t>Physical Review Letter 104, 208101(2010).</w:t>
      </w:r>
      <w:r w:rsidR="00666A32">
        <w:rPr>
          <w:b/>
          <w:i/>
          <w:sz w:val="20"/>
          <w:szCs w:val="20"/>
        </w:rPr>
        <w:t xml:space="preserve"> </w:t>
      </w:r>
      <w:r w:rsidR="00F65561">
        <w:rPr>
          <w:sz w:val="24"/>
          <w:szCs w:val="24"/>
        </w:rPr>
        <w:t xml:space="preserve">                              </w:t>
      </w:r>
      <w:r w:rsidR="00E906A5">
        <w:rPr>
          <w:sz w:val="24"/>
          <w:szCs w:val="24"/>
        </w:rPr>
        <w:t xml:space="preserve"> </w:t>
      </w:r>
      <w:r w:rsidR="00BF7A67">
        <w:rPr>
          <w:sz w:val="24"/>
          <w:szCs w:val="24"/>
        </w:rPr>
        <w:t xml:space="preserve">                 </w:t>
      </w:r>
    </w:p>
    <w:p w:rsidR="004323F5" w:rsidRPr="004323F5" w:rsidRDefault="003F7F6A" w:rsidP="00BF7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F7A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4323F5" w:rsidRPr="0043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E5"/>
    <w:rsid w:val="0007570B"/>
    <w:rsid w:val="000E6631"/>
    <w:rsid w:val="000F5882"/>
    <w:rsid w:val="0017792F"/>
    <w:rsid w:val="001B40D7"/>
    <w:rsid w:val="001D384D"/>
    <w:rsid w:val="002073DA"/>
    <w:rsid w:val="00284579"/>
    <w:rsid w:val="00293A2D"/>
    <w:rsid w:val="00326EBB"/>
    <w:rsid w:val="003602A9"/>
    <w:rsid w:val="00382901"/>
    <w:rsid w:val="0038290B"/>
    <w:rsid w:val="003B4D79"/>
    <w:rsid w:val="003F6DE7"/>
    <w:rsid w:val="003F7C41"/>
    <w:rsid w:val="003F7F6A"/>
    <w:rsid w:val="004323F5"/>
    <w:rsid w:val="00432802"/>
    <w:rsid w:val="00433E3C"/>
    <w:rsid w:val="004900B3"/>
    <w:rsid w:val="005C302D"/>
    <w:rsid w:val="005D19CD"/>
    <w:rsid w:val="005D2BFB"/>
    <w:rsid w:val="0060279C"/>
    <w:rsid w:val="00621D68"/>
    <w:rsid w:val="00634A7A"/>
    <w:rsid w:val="00666A32"/>
    <w:rsid w:val="006766CF"/>
    <w:rsid w:val="006E696D"/>
    <w:rsid w:val="006F77F2"/>
    <w:rsid w:val="00702CF8"/>
    <w:rsid w:val="00706C68"/>
    <w:rsid w:val="007A41E7"/>
    <w:rsid w:val="007D13B5"/>
    <w:rsid w:val="007E7DD0"/>
    <w:rsid w:val="00803ACD"/>
    <w:rsid w:val="00827549"/>
    <w:rsid w:val="008B08A2"/>
    <w:rsid w:val="008B6B2C"/>
    <w:rsid w:val="008C3F8F"/>
    <w:rsid w:val="008D3986"/>
    <w:rsid w:val="00922EF4"/>
    <w:rsid w:val="00946C7F"/>
    <w:rsid w:val="00A7792B"/>
    <w:rsid w:val="00A84046"/>
    <w:rsid w:val="00AC13C3"/>
    <w:rsid w:val="00AE5824"/>
    <w:rsid w:val="00AF40BD"/>
    <w:rsid w:val="00AF49BD"/>
    <w:rsid w:val="00B02FCD"/>
    <w:rsid w:val="00B1006F"/>
    <w:rsid w:val="00B4502C"/>
    <w:rsid w:val="00BF7A67"/>
    <w:rsid w:val="00C27644"/>
    <w:rsid w:val="00CE0410"/>
    <w:rsid w:val="00D75DE7"/>
    <w:rsid w:val="00DF23AB"/>
    <w:rsid w:val="00E548C5"/>
    <w:rsid w:val="00E72404"/>
    <w:rsid w:val="00E906A5"/>
    <w:rsid w:val="00E97400"/>
    <w:rsid w:val="00EC06E0"/>
    <w:rsid w:val="00F02BAC"/>
    <w:rsid w:val="00F65561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8FA4"/>
  <w15:chartTrackingRefBased/>
  <w15:docId w15:val="{AAC2CAEA-92FC-45BD-A4BB-933FE13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2EE5"/>
  </w:style>
  <w:style w:type="character" w:customStyle="1" w:styleId="DateChar">
    <w:name w:val="Date Char"/>
    <w:basedOn w:val="DefaultParagraphFont"/>
    <w:link w:val="Date"/>
    <w:uiPriority w:val="99"/>
    <w:semiHidden/>
    <w:rsid w:val="00FE2EE5"/>
  </w:style>
  <w:style w:type="character" w:styleId="PlaceholderText">
    <w:name w:val="Placeholder Text"/>
    <w:basedOn w:val="DefaultParagraphFont"/>
    <w:uiPriority w:val="99"/>
    <w:semiHidden/>
    <w:rsid w:val="00433E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dcterms:created xsi:type="dcterms:W3CDTF">2016-11-08T23:05:00Z</dcterms:created>
  <dcterms:modified xsi:type="dcterms:W3CDTF">2016-11-09T05:14:00Z</dcterms:modified>
</cp:coreProperties>
</file>